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0A04A0">
        <w:rPr>
          <w:b/>
        </w:rPr>
        <w:t>Przebudowa dróg wewnętrznych na terenie Gminy Żelechlinek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D42B11">
        <w:t>03.08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526AE0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E3620E" w:rsidRPr="000C6FA2">
        <w:rPr>
          <w:rFonts w:cs="Times New Roman"/>
        </w:rPr>
        <w:t>2021 r., poz. 1129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z 2020 r. poz. 1740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0C6FA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0C6FA2">
        <w:t>Przedmiotem zamówienia</w:t>
      </w:r>
      <w:r w:rsidRPr="000C6FA2">
        <w:rPr>
          <w:bCs/>
        </w:rPr>
        <w:t xml:space="preserve"> </w:t>
      </w:r>
      <w:r w:rsidRPr="000C6FA2">
        <w:t xml:space="preserve">jest: </w:t>
      </w:r>
      <w:r w:rsidRPr="000C6FA2">
        <w:rPr>
          <w:b/>
        </w:rPr>
        <w:t>„</w:t>
      </w:r>
      <w:r w:rsidR="00DA4F34">
        <w:rPr>
          <w:b/>
        </w:rPr>
        <w:t>Przebudowa dróg wewnętrznych na terenie Gminy Żelechlinek</w:t>
      </w:r>
      <w:r w:rsidRPr="000C6FA2">
        <w:rPr>
          <w:b/>
        </w:rPr>
        <w:t>”.</w:t>
      </w:r>
      <w:r w:rsidR="00744990" w:rsidRPr="000C6FA2">
        <w:rPr>
          <w:b/>
        </w:rPr>
        <w:t xml:space="preserve"> </w:t>
      </w: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Przebudowa dróg wewnętrznych w miejscowościach: </w:t>
      </w:r>
      <w:proofErr w:type="spellStart"/>
      <w:r>
        <w:rPr>
          <w:bCs/>
          <w:iCs/>
        </w:rPr>
        <w:t>Świniokierz</w:t>
      </w:r>
      <w:proofErr w:type="spellEnd"/>
      <w:r>
        <w:rPr>
          <w:bCs/>
          <w:iCs/>
        </w:rPr>
        <w:t xml:space="preserve"> Dworski</w:t>
      </w:r>
      <w:r w:rsidR="009D3C22">
        <w:rPr>
          <w:bCs/>
          <w:iCs/>
        </w:rPr>
        <w:t xml:space="preserve"> (długość ok. 0,88 km)</w:t>
      </w:r>
      <w:r>
        <w:rPr>
          <w:bCs/>
          <w:iCs/>
        </w:rPr>
        <w:t>, Wola Naropińska</w:t>
      </w:r>
      <w:r w:rsidR="009D3C22">
        <w:rPr>
          <w:bCs/>
          <w:iCs/>
        </w:rPr>
        <w:t xml:space="preserve"> (długość ok. 0,60 km)</w:t>
      </w:r>
      <w:r>
        <w:rPr>
          <w:bCs/>
          <w:iCs/>
        </w:rPr>
        <w:t>, Łochów</w:t>
      </w:r>
      <w:r w:rsidR="009D3C22">
        <w:rPr>
          <w:bCs/>
          <w:iCs/>
        </w:rPr>
        <w:t xml:space="preserve"> (długość ok. 0,56 km)</w:t>
      </w:r>
      <w:r>
        <w:rPr>
          <w:bCs/>
          <w:iCs/>
        </w:rPr>
        <w:t>, Ignatów – Modrzewek</w:t>
      </w:r>
      <w:r w:rsidR="005570D1">
        <w:rPr>
          <w:bCs/>
          <w:iCs/>
        </w:rPr>
        <w:t xml:space="preserve"> (długość ok. </w:t>
      </w:r>
      <w:r w:rsidR="009D3C22">
        <w:rPr>
          <w:bCs/>
          <w:iCs/>
        </w:rPr>
        <w:t>0,48 km)</w:t>
      </w:r>
      <w:r>
        <w:rPr>
          <w:bCs/>
          <w:iCs/>
        </w:rPr>
        <w:t>, Feliksów – Sokołówka</w:t>
      </w:r>
      <w:r w:rsidR="009D3C22">
        <w:rPr>
          <w:bCs/>
          <w:iCs/>
        </w:rPr>
        <w:t xml:space="preserve"> (długość. ok. 1,07 km)</w:t>
      </w:r>
      <w:r>
        <w:rPr>
          <w:bCs/>
          <w:iCs/>
        </w:rPr>
        <w:t>.</w:t>
      </w: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0C6FA2">
        <w:rPr>
          <w:rFonts w:cs="Times New Roman"/>
          <w:bCs/>
          <w:iCs/>
        </w:rPr>
        <w:t>W zakres zadania wchodzą m.in. następujące roboty:</w:t>
      </w:r>
    </w:p>
    <w:p w:rsidR="003218F1" w:rsidRDefault="009D3C22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przygotowawcze i rozbiórkowe (roboty pomiarowe, rozebranie podbudowy z kruszywa),</w:t>
      </w:r>
    </w:p>
    <w:p w:rsidR="00351D25" w:rsidRDefault="00351D25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ziemne (dot. wyłącznie drogi w m. Ignatów - Modrzewek),</w:t>
      </w:r>
    </w:p>
    <w:p w:rsidR="00351D25" w:rsidRDefault="00351D25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remont przepustu pod koroną drogi (dotyczy</w:t>
      </w:r>
      <w:r w:rsidR="00F4737B">
        <w:rPr>
          <w:rFonts w:cs="Times New Roman"/>
          <w:bCs/>
          <w:iCs/>
        </w:rPr>
        <w:t xml:space="preserve"> wyłącznie</w:t>
      </w:r>
      <w:r>
        <w:rPr>
          <w:rFonts w:cs="Times New Roman"/>
          <w:bCs/>
          <w:iCs/>
        </w:rPr>
        <w:t xml:space="preserve"> dróg w m.: Łochów, </w:t>
      </w:r>
      <w:proofErr w:type="spellStart"/>
      <w:r w:rsidR="004C5E0D">
        <w:rPr>
          <w:rFonts w:cs="Times New Roman"/>
          <w:bCs/>
          <w:iCs/>
        </w:rPr>
        <w:t>Świniokierz</w:t>
      </w:r>
      <w:proofErr w:type="spellEnd"/>
      <w:r w:rsidR="004C5E0D">
        <w:rPr>
          <w:rFonts w:cs="Times New Roman"/>
          <w:bCs/>
          <w:iCs/>
        </w:rPr>
        <w:t xml:space="preserve"> Dworski, Wola Naropińska</w:t>
      </w:r>
      <w:r>
        <w:rPr>
          <w:rFonts w:cs="Times New Roman"/>
          <w:bCs/>
          <w:iCs/>
        </w:rPr>
        <w:t>)</w:t>
      </w:r>
      <w:r w:rsidR="004C5E0D">
        <w:rPr>
          <w:rFonts w:cs="Times New Roman"/>
          <w:bCs/>
          <w:iCs/>
        </w:rPr>
        <w:t>,</w:t>
      </w:r>
    </w:p>
    <w:p w:rsidR="009D3C22" w:rsidRDefault="009D3C22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podbudowa jezdni (roboty ziemne wykonywane koparkami, podbudowa zasadnicza z kruszywa)</w:t>
      </w:r>
      <w:r w:rsidR="002B19DE">
        <w:rPr>
          <w:rFonts w:cs="Times New Roman"/>
          <w:bCs/>
          <w:iCs/>
        </w:rPr>
        <w:t>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nawierzchnia jezdni (warstwa wiążąca oraz warstwa ścieralna),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pobocza z kruszywa łamanego,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oznakowanie pionowe,</w:t>
      </w:r>
    </w:p>
    <w:p w:rsidR="003819AF" w:rsidRPr="007955FF" w:rsidRDefault="002B19DE" w:rsidP="003819A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uzupełniające (profilowanie i plantowanie skarp nasypów i wykopów)</w:t>
      </w:r>
    </w:p>
    <w:p w:rsidR="00A53BD2" w:rsidRDefault="00A53BD2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Przebudowa ulicy Cmentarnej wraz z infrastrukturą.</w:t>
      </w:r>
    </w:p>
    <w:p w:rsidR="003819AF" w:rsidRPr="000C6FA2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0C6FA2">
        <w:rPr>
          <w:rFonts w:cs="Times New Roman"/>
          <w:bCs/>
          <w:iCs/>
        </w:rPr>
        <w:t>W zakres zadania wchodzą m.in. następujące roboty:</w:t>
      </w:r>
    </w:p>
    <w:p w:rsidR="003819AF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 xml:space="preserve">roboty </w:t>
      </w:r>
      <w:r w:rsidR="001B3281">
        <w:rPr>
          <w:bCs/>
          <w:iCs/>
        </w:rPr>
        <w:t>przygotowawcze, rozbiórkowe (roboty pomiarowe: ok. 0,30 km, rozebranie istniejącej nawierzchni oraz podbudowy),</w:t>
      </w:r>
    </w:p>
    <w:p w:rsidR="006235B2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podbudowa jezdni (roboty ziemne wykonywane koparkami, podbudowa zasadnicza z kruszywa),</w:t>
      </w:r>
    </w:p>
    <w:p w:rsidR="006235B2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nawierzchnia jezdni </w:t>
      </w:r>
      <w:r w:rsidR="00A61EA0">
        <w:rPr>
          <w:bCs/>
          <w:iCs/>
        </w:rPr>
        <w:t>(warstwa wiążąca, warstwa ścieralna, nawierzchnia z kostki brukowej betonowej),</w:t>
      </w:r>
    </w:p>
    <w:p w:rsidR="00842F9A" w:rsidRDefault="00BF387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obramowanie jezdni </w:t>
      </w:r>
      <w:r w:rsidR="003A79A4">
        <w:rPr>
          <w:bCs/>
          <w:iCs/>
        </w:rPr>
        <w:t xml:space="preserve">– krawężniki betonowe, </w:t>
      </w:r>
    </w:p>
    <w:p w:rsidR="003A79A4" w:rsidRDefault="003A79A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chodniki i opaska jezdni (nawierzchnia z kostki brukowej betonowej),</w:t>
      </w:r>
    </w:p>
    <w:p w:rsidR="003A79A4" w:rsidRDefault="003A79A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zjazdy z kostki betonowej</w:t>
      </w:r>
      <w:r w:rsidR="00A61EA0">
        <w:rPr>
          <w:bCs/>
          <w:iCs/>
        </w:rPr>
        <w:t>, oznakowanie pionowe i poziome,</w:t>
      </w:r>
      <w:r>
        <w:rPr>
          <w:bCs/>
          <w:iCs/>
        </w:rPr>
        <w:t xml:space="preserve"> roboty uzupełniające (umocnienie skarp wykopów i nasypów ażurowymi płytami</w:t>
      </w:r>
      <w:r w:rsidR="00A61EA0">
        <w:rPr>
          <w:bCs/>
          <w:iCs/>
        </w:rPr>
        <w:t>, plantowanie ręczne</w:t>
      </w:r>
      <w:r>
        <w:rPr>
          <w:bCs/>
          <w:iCs/>
        </w:rPr>
        <w:t>),</w:t>
      </w:r>
    </w:p>
    <w:p w:rsidR="003A79A4" w:rsidRDefault="003A79A4" w:rsidP="00A61EA0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budowa oświetlenia </w:t>
      </w:r>
      <w:r w:rsidR="002016F2">
        <w:rPr>
          <w:bCs/>
          <w:iCs/>
        </w:rPr>
        <w:t>ulicznego</w:t>
      </w:r>
      <w:r w:rsidR="00A61EA0">
        <w:rPr>
          <w:bCs/>
          <w:iCs/>
        </w:rPr>
        <w:t xml:space="preserve"> </w:t>
      </w:r>
      <w:r w:rsidR="00A61EA0" w:rsidRPr="00A61EA0">
        <w:rPr>
          <w:bCs/>
          <w:iCs/>
        </w:rPr>
        <w:t>(montaż i stawianie słupów oświetleniowych, montaż opraw oświetlenia zewnętrznego na słupie, montaż przewodów do opraw oświetleniowych),</w:t>
      </w:r>
    </w:p>
    <w:p w:rsidR="00A61EA0" w:rsidRPr="00A61EA0" w:rsidRDefault="00A61EA0" w:rsidP="00A61EA0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budowa sieci wodociągowej i kanalizacyjnej (roboty ziemne, roboty montażowe, roboty w zakresie przewodów instalacji elektrycznych - zasilanie przepompowni, roboty drogowe - odtworzeniowe).</w:t>
      </w:r>
    </w:p>
    <w:p w:rsidR="00935A2E" w:rsidRDefault="00990B9F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budowa sanitariatów </w:t>
      </w:r>
      <w:r w:rsidR="00A61EA0">
        <w:rPr>
          <w:bCs/>
          <w:iCs/>
        </w:rPr>
        <w:t>pow. zabudowy ok. 45,9 m</w:t>
      </w:r>
      <w:r w:rsidR="00A61EA0">
        <w:rPr>
          <w:bCs/>
          <w:iCs/>
          <w:vertAlign w:val="superscript"/>
        </w:rPr>
        <w:t>2</w:t>
      </w:r>
      <w:r w:rsidR="00A61EA0">
        <w:rPr>
          <w:bCs/>
          <w:iCs/>
        </w:rPr>
        <w:t>:</w:t>
      </w:r>
    </w:p>
    <w:p w:rsidR="00A61EA0" w:rsidRDefault="00A61EA0" w:rsidP="00A61EA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wykonanie robót ziemnych, wykonanie stanu surowego oraz stanu wykończonego budynku wraz z instalacjami,</w:t>
      </w:r>
    </w:p>
    <w:p w:rsidR="00A61EA0" w:rsidRDefault="00A61EA0" w:rsidP="00A61EA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instalacje elektryczne, instalacja internetowa i telefoniczna, tablica RG, instalacje zewnętrzne,  instalacja odgromowa i uziemiająca, monitoring, instalacja fotowoltaiczna,</w:t>
      </w:r>
    </w:p>
    <w:p w:rsidR="006235B2" w:rsidRDefault="00A61EA0" w:rsidP="006235B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instalacje sanitarne, w tym: instalacja c.o., pompa ciepła i zasobnik c.w.u., instalacja </w:t>
      </w:r>
      <w:proofErr w:type="spellStart"/>
      <w:r>
        <w:rPr>
          <w:bCs/>
          <w:iCs/>
        </w:rPr>
        <w:t>wod</w:t>
      </w:r>
      <w:proofErr w:type="spellEnd"/>
      <w:r>
        <w:rPr>
          <w:bCs/>
          <w:iCs/>
        </w:rPr>
        <w:t>. - kan.</w:t>
      </w:r>
    </w:p>
    <w:p w:rsidR="00001E2F" w:rsidRPr="00001E2F" w:rsidRDefault="00001E2F" w:rsidP="00001E2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bCs/>
          <w:iCs/>
        </w:rPr>
      </w:pPr>
    </w:p>
    <w:p w:rsidR="00833FE5" w:rsidRPr="000C6FA2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0C6FA2">
        <w:rPr>
          <w:bCs/>
        </w:rPr>
        <w:t>Zakres prac oraz odpowiedzialność Wykonawcy w zakresie objętym proponowaną ceną ofertową obejmuje także: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organizację i zagospodarowanie zaplecza budowy,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zapewnienie bieżącej obsługi geodezyjnej,  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zorganizowanie i przeprowadzenie niezbędnych prób, badań i odbiorów oraz ewentualnego uzupełnienia dokumentacji odbiorczej dla zakresu robót objętych przedmiotem przetargu,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wykonanie dokumentacji powykonawczej, łącznie z dokumentacją geodezyjną wszystkich prac, zatwierdzoną przez odpowiedni, z uwagi na lokalizację robót, ośrodek geodezji </w:t>
      </w:r>
      <w:r w:rsidRPr="000C6FA2">
        <w:br/>
        <w:t>i kartografii – w przypadku gdy jest wymagana przepisami prawa.</w:t>
      </w:r>
    </w:p>
    <w:p w:rsidR="00833FE5" w:rsidRPr="000C6FA2" w:rsidRDefault="00833FE5" w:rsidP="00833FE5">
      <w:pPr>
        <w:spacing w:after="0"/>
        <w:ind w:left="720"/>
        <w:jc w:val="both"/>
      </w:pPr>
    </w:p>
    <w:p w:rsidR="00833FE5" w:rsidRPr="000C6FA2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</w:pPr>
      <w:r w:rsidRPr="000C6FA2">
        <w:t xml:space="preserve">Szczegółowy przedmiot zamówienia określony został w: </w:t>
      </w:r>
    </w:p>
    <w:p w:rsidR="00833FE5" w:rsidRPr="000C6FA2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przedmiarach robót - stanowiących</w:t>
      </w:r>
      <w:r w:rsidR="00360BFC" w:rsidRPr="000C6FA2">
        <w:t xml:space="preserve"> załącznik do S</w:t>
      </w:r>
      <w:r w:rsidRPr="000C6FA2">
        <w:t>WZ ,</w:t>
      </w:r>
    </w:p>
    <w:p w:rsidR="00A32F67" w:rsidRPr="000C6FA2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dokumentacjach technicznych - stanowiących</w:t>
      </w:r>
      <w:r w:rsidR="00360BFC" w:rsidRPr="000C6FA2">
        <w:t xml:space="preserve"> załącznik do S</w:t>
      </w:r>
      <w:r w:rsidRPr="000C6FA2">
        <w:t>WZ</w:t>
      </w:r>
      <w:r w:rsidR="00B70EC2" w:rsidRPr="000C6FA2">
        <w:t>.</w:t>
      </w:r>
    </w:p>
    <w:p w:rsidR="007B6E66" w:rsidRPr="000C6FA2" w:rsidRDefault="007B6E66" w:rsidP="007B6E66">
      <w:pPr>
        <w:tabs>
          <w:tab w:val="left" w:pos="284"/>
        </w:tabs>
        <w:suppressAutoHyphens/>
        <w:spacing w:after="0" w:line="276" w:lineRule="auto"/>
        <w:jc w:val="both"/>
      </w:pPr>
    </w:p>
    <w:p w:rsidR="00204B92" w:rsidRPr="000C6FA2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</w:t>
      </w:r>
      <w:r w:rsidRPr="000C6FA2">
        <w:rPr>
          <w:rFonts w:cs="Times New Roman"/>
        </w:rPr>
        <w:lastRenderedPageBreak/>
        <w:t xml:space="preserve">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0C6FA2" w:rsidRDefault="006B4BDB" w:rsidP="006B4BDB">
      <w:pPr>
        <w:pStyle w:val="Akapitzlist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Wymagany okres gwarancji: min. 36 miesięcy.</w:t>
      </w: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wymaga udzielenia 60 miesięcy rękojmi na wykonany przedmiot zamówienia.</w:t>
      </w:r>
    </w:p>
    <w:p w:rsidR="00A53BD2" w:rsidRPr="00A53BD2" w:rsidRDefault="00B314C8" w:rsidP="00A53BD2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Wspólny Słownik Zamówień CPV</w:t>
      </w:r>
      <w:r w:rsidRPr="00A53BD2">
        <w:rPr>
          <w:rFonts w:cs="Times New Roman"/>
        </w:rPr>
        <w:t>:</w:t>
      </w:r>
      <w:r w:rsidR="00A53BD2" w:rsidRPr="00A53BD2">
        <w:rPr>
          <w:rFonts w:cs="Times New Roman"/>
        </w:rPr>
        <w:t xml:space="preserve">     </w:t>
      </w:r>
      <w:r w:rsidR="00A53BD2" w:rsidRPr="00A53BD2">
        <w:rPr>
          <w:rFonts w:cs="Times New Roman"/>
          <w:b/>
        </w:rPr>
        <w:t xml:space="preserve">45000000-7 – </w:t>
      </w:r>
      <w:r w:rsidR="00AB0E31">
        <w:rPr>
          <w:rFonts w:cs="Times New Roman"/>
        </w:rPr>
        <w:t>Roboty budowlane</w:t>
      </w:r>
    </w:p>
    <w:p w:rsidR="00450FE6" w:rsidRPr="00A53BD2" w:rsidRDefault="00A53BD2" w:rsidP="00A53BD2">
      <w:pPr>
        <w:spacing w:after="120" w:line="240" w:lineRule="auto"/>
        <w:jc w:val="both"/>
        <w:rPr>
          <w:rFonts w:cs="Times New Roman"/>
        </w:rPr>
      </w:pP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="00C87A06" w:rsidRPr="00A53BD2">
        <w:rPr>
          <w:rFonts w:cs="Times New Roman"/>
        </w:rPr>
        <w:t xml:space="preserve"> </w:t>
      </w:r>
      <w:r w:rsidR="00F323B9" w:rsidRPr="00A53BD2">
        <w:rPr>
          <w:rFonts w:cs="Times New Roman"/>
          <w:b/>
        </w:rPr>
        <w:t xml:space="preserve">45233120-6 – </w:t>
      </w:r>
      <w:r w:rsidR="00F323B9" w:rsidRPr="00A53BD2">
        <w:rPr>
          <w:rFonts w:cs="Times New Roman"/>
        </w:rPr>
        <w:t>Roboty w zakresie budowy dróg.</w:t>
      </w:r>
    </w:p>
    <w:p w:rsidR="00817A49" w:rsidRDefault="00817A49" w:rsidP="00817A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817A49" w:rsidRPr="00817A49" w:rsidRDefault="00817A49" w:rsidP="00817A49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Powody niedokonania podziału na części: </w:t>
      </w:r>
      <w:r w:rsidRPr="000C6FA2">
        <w:rPr>
          <w:rFonts w:cs="Times New Roman"/>
        </w:rPr>
        <w:t>Przedmiot zamówienia obejmuje roboty możliwe do wykonania przez jednego wykonawcę.</w:t>
      </w:r>
      <w:r w:rsidR="00A53BD2" w:rsidRPr="00A53BD2">
        <w:rPr>
          <w:rFonts w:cs="Times New Roman"/>
        </w:rPr>
        <w:t xml:space="preserve"> </w:t>
      </w:r>
      <w:r w:rsidR="00A53BD2">
        <w:rPr>
          <w:rFonts w:cs="Times New Roman"/>
        </w:rPr>
        <w:t>B</w:t>
      </w:r>
      <w:r w:rsidR="00A53BD2" w:rsidRPr="000C6FA2">
        <w:rPr>
          <w:rFonts w:cs="Times New Roman"/>
        </w:rPr>
        <w:t>rak podziału na części nie wyklucza z udziału w postępowaniu małych i średnich przedsiębiorstw.</w:t>
      </w:r>
      <w:r w:rsidRPr="000C6FA2">
        <w:rPr>
          <w:rFonts w:cs="Times New Roman"/>
        </w:rPr>
        <w:t xml:space="preserve"> </w:t>
      </w:r>
      <w:r>
        <w:rPr>
          <w:rFonts w:cs="Times New Roman"/>
        </w:rPr>
        <w:t xml:space="preserve">Zamawiający otrzymał wstępną promesę </w:t>
      </w:r>
      <w:r w:rsidRPr="00F76D01">
        <w:rPr>
          <w:bCs/>
          <w:color w:val="000000"/>
        </w:rPr>
        <w:t>dotyczącą dofinansowania inwestycji z Rządowego Funduszu Polski Ład: Programu Inwestycji Strategicznych</w:t>
      </w:r>
      <w:r>
        <w:rPr>
          <w:rFonts w:cs="Times New Roman"/>
        </w:rPr>
        <w:t xml:space="preserve">. </w:t>
      </w:r>
      <w:r w:rsidR="007955FF" w:rsidRPr="007955FF">
        <w:rPr>
          <w:rFonts w:cs="Times New Roman"/>
        </w:rPr>
        <w:t xml:space="preserve">Podział na części </w:t>
      </w:r>
      <w:r w:rsidR="007955FF">
        <w:rPr>
          <w:rFonts w:cs="Times New Roman"/>
        </w:rPr>
        <w:t xml:space="preserve">niesie ze sobą ryzyko braku wyłonienia Wykonawcy </w:t>
      </w:r>
      <w:r w:rsidR="007955FF" w:rsidRPr="007955FF">
        <w:rPr>
          <w:rFonts w:cs="Times New Roman"/>
        </w:rPr>
        <w:t>na daną cześć zamówienia, co spowodowałoby utratę środków z dofinansowania</w:t>
      </w:r>
      <w:r w:rsidR="00A53BD2">
        <w:rPr>
          <w:rFonts w:cs="Times New Roman"/>
        </w:rPr>
        <w:t xml:space="preserve"> na całość zamówienia</w:t>
      </w:r>
      <w:r w:rsidR="007955FF" w:rsidRPr="007955FF">
        <w:rPr>
          <w:rFonts w:cs="Times New Roman"/>
        </w:rPr>
        <w:t xml:space="preserve">. </w:t>
      </w:r>
      <w:r w:rsidR="00FB61B7">
        <w:rPr>
          <w:rFonts w:cs="Times New Roman"/>
        </w:rPr>
        <w:t xml:space="preserve">W ww. promesie przewidziane zostały terminy na dokonanie pewnych czynności przez Zamawiającego umożliwiających uzyskanie dofinansowania. Terminy te są ściśle powiązane z datą zawarcia umowy, datą odbioru robót oraz z jedną płatnością końcową. </w:t>
      </w:r>
    </w:p>
    <w:p w:rsidR="00CC23E9" w:rsidRPr="000C6FA2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nie dopuszcza możliwości składania ofert wariantowych.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B70A66" w:rsidRPr="000C6FA2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bCs/>
        </w:rPr>
        <w:t xml:space="preserve">Zamawiający </w:t>
      </w:r>
      <w:r w:rsidRPr="000C6FA2">
        <w:rPr>
          <w:b/>
          <w:bCs/>
          <w:color w:val="000000"/>
        </w:rPr>
        <w:t>wymaga zatrudnienia przez Wykonawcę lub Podwykonawcę na podstawie umowy o pracę</w:t>
      </w:r>
      <w:r w:rsidRPr="000C6FA2">
        <w:rPr>
          <w:bCs/>
          <w:color w:val="000000"/>
        </w:rPr>
        <w:t xml:space="preserve">, </w:t>
      </w:r>
      <w:r w:rsidRPr="000C6FA2">
        <w:rPr>
          <w:rFonts w:eastAsia="Times New Roman"/>
          <w:lang w:val="x-none" w:eastAsia="pl-PL"/>
        </w:rPr>
        <w:t xml:space="preserve">zgodnie z art. </w:t>
      </w:r>
      <w:r w:rsidRPr="000C6FA2">
        <w:rPr>
          <w:rFonts w:eastAsia="Times New Roman"/>
          <w:lang w:eastAsia="pl-PL"/>
        </w:rPr>
        <w:t>95</w:t>
      </w:r>
      <w:r w:rsidRPr="000C6FA2">
        <w:rPr>
          <w:rFonts w:eastAsia="Times New Roman"/>
          <w:lang w:val="x-none" w:eastAsia="pl-PL"/>
        </w:rPr>
        <w:t xml:space="preserve"> ustawy P</w:t>
      </w:r>
      <w:r w:rsidRPr="000C6FA2">
        <w:rPr>
          <w:rFonts w:eastAsia="Times New Roman"/>
          <w:lang w:eastAsia="pl-PL"/>
        </w:rPr>
        <w:t>rawo zamówień publicznych,</w:t>
      </w:r>
      <w:r w:rsidRPr="000C6FA2">
        <w:rPr>
          <w:bCs/>
          <w:color w:val="000000"/>
        </w:rPr>
        <w:t xml:space="preserve"> osób</w:t>
      </w:r>
      <w:r w:rsidRPr="000C6FA2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val="x-none" w:eastAsia="pl-PL"/>
        </w:rPr>
        <w:t xml:space="preserve">skierowanych do </w:t>
      </w:r>
      <w:r w:rsidRPr="000C6FA2">
        <w:rPr>
          <w:rFonts w:eastAsia="Times New Roman"/>
          <w:lang w:eastAsia="pl-PL"/>
        </w:rPr>
        <w:t>realizacji zamówienia</w:t>
      </w:r>
      <w:r w:rsidRPr="000C6FA2">
        <w:rPr>
          <w:rFonts w:eastAsia="Times New Roman"/>
          <w:lang w:val="x-none" w:eastAsia="pl-PL"/>
        </w:rPr>
        <w:t xml:space="preserve"> </w:t>
      </w:r>
      <w:r w:rsidRPr="000C6FA2">
        <w:rPr>
          <w:rFonts w:eastAsia="Times New Roman"/>
          <w:b/>
          <w:lang w:eastAsia="pl-PL"/>
        </w:rPr>
        <w:t xml:space="preserve">w zakresie wymienionych czynności: </w:t>
      </w:r>
      <w:r w:rsidR="00F74B70" w:rsidRPr="000C6FA2">
        <w:rPr>
          <w:rFonts w:eastAsia="Times New Roman"/>
          <w:b/>
          <w:lang w:eastAsia="pl-PL"/>
        </w:rPr>
        <w:t xml:space="preserve">wykonywanie </w:t>
      </w:r>
      <w:r w:rsidR="00B47A22">
        <w:rPr>
          <w:rFonts w:eastAsia="Times New Roman"/>
          <w:b/>
          <w:lang w:eastAsia="pl-PL"/>
        </w:rPr>
        <w:t>podbudowy oraz nawierzchni jezdni</w:t>
      </w:r>
      <w:r w:rsidR="009C230D" w:rsidRPr="000C6FA2">
        <w:rPr>
          <w:rFonts w:eastAsia="Times New Roman"/>
          <w:b/>
          <w:lang w:eastAsia="pl-PL"/>
        </w:rPr>
        <w:t xml:space="preserve">. </w:t>
      </w:r>
      <w:r w:rsidRPr="000C6FA2">
        <w:rPr>
          <w:rFonts w:eastAsia="Times New Roman"/>
          <w:lang w:eastAsia="pl-PL"/>
        </w:rPr>
        <w:t>Zamawiający określa następujące wymagania w tym zakresie:</w:t>
      </w:r>
    </w:p>
    <w:p w:rsidR="00B70A66" w:rsidRPr="000C6FA2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żądania oświadczeń i dokumentów w zakresie potwierdzenia spełniania ww. wymogów </w:t>
      </w:r>
      <w:r w:rsidRPr="000C6FA2">
        <w:rPr>
          <w:color w:val="000000"/>
        </w:rPr>
        <w:br/>
        <w:t>i dokonywania ich oceny,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>żądania wyjaśnień w przypadku wątpliwości w zakresie potwierdzenia spełniania ww. wymogów,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lastRenderedPageBreak/>
        <w:t>przeprowadzania kontroli na miejscu wykonywania zamówienia;</w:t>
      </w:r>
    </w:p>
    <w:p w:rsidR="00B70A66" w:rsidRPr="000C6FA2" w:rsidRDefault="00B70A66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t xml:space="preserve">oświadczenie Wykonawcy lub Podwykonawcy </w:t>
      </w:r>
      <w:r w:rsidRPr="000C6FA2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 xml:space="preserve">kopię umowy/umów o pracę </w:t>
      </w:r>
      <w:r w:rsidRPr="000C6FA2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>przepisami ustawy o ochronie danych osobowych</w:t>
      </w:r>
      <w:r w:rsidRPr="000C6FA2">
        <w:rPr>
          <w:i/>
          <w:iCs/>
          <w:color w:val="000000"/>
        </w:rPr>
        <w:t xml:space="preserve"> </w:t>
      </w:r>
      <w:r w:rsidRPr="000C6FA2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0C6FA2">
        <w:rPr>
          <w:color w:val="000000"/>
        </w:rPr>
        <w:t>być możliwe do </w:t>
      </w:r>
      <w:r w:rsidRPr="000C6FA2">
        <w:rPr>
          <w:color w:val="000000"/>
        </w:rPr>
        <w:t xml:space="preserve">zidentyfikowania,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t xml:space="preserve">zaświadczenie właściwego oddziału ZUS, </w:t>
      </w:r>
      <w:r w:rsidRPr="000C6FA2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:rsidR="00B70A66" w:rsidRPr="000C6FA2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>kopię dowodu potwierdzającego zgłoszenie pracownika przez pracodawcę do ubezpieczeń</w:t>
      </w:r>
      <w:r w:rsidRPr="000C6FA2">
        <w:rPr>
          <w:color w:val="000000"/>
        </w:rPr>
        <w:t>, zanonimizowaną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 xml:space="preserve">przepisami ustawy o ochronie danych osobowych. Imię i nazwisko pracownika nie podlega </w:t>
      </w:r>
      <w:proofErr w:type="spellStart"/>
      <w:r w:rsidRPr="000C6FA2">
        <w:rPr>
          <w:color w:val="000000"/>
        </w:rPr>
        <w:t>anonimizacji</w:t>
      </w:r>
      <w:proofErr w:type="spellEnd"/>
      <w:r w:rsidRPr="000C6FA2">
        <w:rPr>
          <w:color w:val="000000"/>
        </w:rPr>
        <w:t>;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3) </w:t>
      </w:r>
      <w:r w:rsidR="00B70A66" w:rsidRPr="000C6FA2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0C6FA2">
        <w:rPr>
          <w:b/>
          <w:bCs/>
          <w:color w:val="000000"/>
        </w:rPr>
        <w:t xml:space="preserve">kary umownej </w:t>
      </w:r>
      <w:r w:rsidR="00F16859" w:rsidRPr="000C6FA2">
        <w:rPr>
          <w:color w:val="000000"/>
        </w:rPr>
        <w:t>w </w:t>
      </w:r>
      <w:r w:rsidR="00B70A66" w:rsidRPr="000C6FA2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0C6FA2">
        <w:rPr>
          <w:color w:val="000000"/>
        </w:rPr>
        <w:t xml:space="preserve">, o którym mowa </w:t>
      </w:r>
      <w:r w:rsidR="00FB0213" w:rsidRPr="000C6FA2">
        <w:rPr>
          <w:color w:val="000000"/>
        </w:rPr>
        <w:br/>
        <w:t xml:space="preserve">w </w:t>
      </w:r>
      <w:proofErr w:type="spellStart"/>
      <w:r w:rsidR="00FB0213" w:rsidRPr="000C6FA2">
        <w:rPr>
          <w:color w:val="000000"/>
        </w:rPr>
        <w:t>s</w:t>
      </w:r>
      <w:r w:rsidR="00B70A66" w:rsidRPr="000C6FA2">
        <w:rPr>
          <w:color w:val="000000"/>
        </w:rPr>
        <w:t>wz</w:t>
      </w:r>
      <w:proofErr w:type="spellEnd"/>
      <w:r w:rsidR="00B70A66" w:rsidRPr="000C6FA2">
        <w:rPr>
          <w:color w:val="000000"/>
        </w:rPr>
        <w:t xml:space="preserve">; 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0C6FA2">
        <w:rPr>
          <w:rFonts w:eastAsia="Times New Roman"/>
          <w:lang w:eastAsia="pl-PL"/>
        </w:rPr>
        <w:t xml:space="preserve">4) </w:t>
      </w:r>
      <w:r w:rsidR="00B70A66" w:rsidRPr="000C6FA2">
        <w:rPr>
          <w:rFonts w:eastAsia="Times New Roman"/>
          <w:lang w:eastAsia="pl-PL"/>
        </w:rPr>
        <w:t>w</w:t>
      </w:r>
      <w:r w:rsidR="00B70A66" w:rsidRPr="000C6FA2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0C6FA2">
        <w:rPr>
          <w:b/>
          <w:bCs/>
          <w:color w:val="000000"/>
        </w:rPr>
        <w:t>kontroli przez Państwową Inspekcję Pracy</w:t>
      </w:r>
      <w:r w:rsidR="00B70A66" w:rsidRPr="000C6FA2">
        <w:rPr>
          <w:bCs/>
          <w:color w:val="000000"/>
        </w:rPr>
        <w:t>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Pr="000C6FA2" w:rsidRDefault="00BD2135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Wymagany termin realizacji przedmiotu zamówienia</w:t>
      </w:r>
      <w:r w:rsidR="00E41FB5" w:rsidRPr="000C6FA2">
        <w:rPr>
          <w:rFonts w:cs="Times New Roman"/>
        </w:rPr>
        <w:t>:</w:t>
      </w:r>
      <w:r w:rsidR="00CF080F" w:rsidRPr="000C6FA2">
        <w:rPr>
          <w:rFonts w:cs="Times New Roman"/>
        </w:rPr>
        <w:t xml:space="preserve"> w ciągu</w:t>
      </w:r>
      <w:r w:rsidR="002016F2">
        <w:rPr>
          <w:rFonts w:cs="Times New Roman"/>
        </w:rPr>
        <w:t xml:space="preserve"> 10</w:t>
      </w:r>
      <w:r w:rsidR="002952DB" w:rsidRPr="000C6FA2">
        <w:rPr>
          <w:rFonts w:cs="Times New Roman"/>
        </w:rPr>
        <w:t xml:space="preserve"> miesięcy od </w:t>
      </w:r>
      <w:r w:rsidR="006C011A" w:rsidRPr="000C6FA2">
        <w:rPr>
          <w:rFonts w:cs="Times New Roman"/>
        </w:rPr>
        <w:t>daty</w:t>
      </w:r>
      <w:r w:rsidR="002952DB" w:rsidRPr="000C6FA2">
        <w:rPr>
          <w:rFonts w:cs="Times New Roman"/>
        </w:rPr>
        <w:t xml:space="preserve"> zawarcia umowy</w:t>
      </w:r>
      <w:r w:rsidR="00E3620E" w:rsidRPr="000C6FA2">
        <w:t>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A53BD2" w:rsidRPr="00A53BD2">
        <w:rPr>
          <w:rFonts w:cs="Times New Roman"/>
        </w:rPr>
        <w:t>5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730549">
      <w:pPr>
        <w:pStyle w:val="Akapitzlist"/>
        <w:numPr>
          <w:ilvl w:val="0"/>
          <w:numId w:val="8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spacing w:after="0"/>
        <w:ind w:left="360"/>
        <w:jc w:val="both"/>
      </w:pPr>
      <w:r w:rsidRPr="000C6FA2">
        <w:t xml:space="preserve">1) </w:t>
      </w:r>
      <w:r w:rsidR="0040651D" w:rsidRPr="000C6FA2">
        <w:t>Bogumił Koziarski</w:t>
      </w:r>
      <w:r w:rsidRPr="000C6FA2">
        <w:t xml:space="preserve"> – </w:t>
      </w:r>
      <w:r w:rsidR="00610C02" w:rsidRPr="000C6FA2">
        <w:t xml:space="preserve">Kierownik </w:t>
      </w:r>
      <w:r w:rsidR="00783202" w:rsidRPr="000C6FA2">
        <w:t xml:space="preserve">Referatu </w:t>
      </w:r>
      <w:r w:rsidR="0040651D" w:rsidRPr="000C6FA2">
        <w:t>Gospodarki Komunalnej</w:t>
      </w:r>
      <w:r w:rsidR="0003480B" w:rsidRPr="000C6FA2">
        <w:t xml:space="preserve"> </w:t>
      </w:r>
      <w:r w:rsidRPr="000C6FA2">
        <w:t>– tel. 44</w:t>
      </w:r>
      <w:r w:rsidR="0040651D" w:rsidRPr="000C6FA2">
        <w:t> 844 40 25</w:t>
      </w:r>
      <w:r w:rsidRPr="000C6FA2">
        <w:t xml:space="preserve">,  </w:t>
      </w:r>
      <w:r w:rsidRPr="000C6FA2">
        <w:br/>
        <w:t xml:space="preserve">e-mail </w:t>
      </w:r>
      <w:hyperlink r:id="rId15" w:history="1">
        <w:r w:rsidR="007E2E4C" w:rsidRPr="000C6FA2">
          <w:rPr>
            <w:rStyle w:val="Hipercze"/>
          </w:rPr>
          <w:t>wa@zelechlinek.pl</w:t>
        </w:r>
      </w:hyperlink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lastRenderedPageBreak/>
        <w:t xml:space="preserve">2)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6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633D75">
      <w:pPr>
        <w:pStyle w:val="Akapitzlist"/>
        <w:numPr>
          <w:ilvl w:val="0"/>
          <w:numId w:val="8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6157B9">
        <w:t>16.09</w:t>
      </w:r>
      <w:bookmarkStart w:id="0" w:name="_GoBack"/>
      <w:bookmarkEnd w:id="0"/>
      <w:r w:rsidR="00213B65" w:rsidRPr="000C6FA2">
        <w:t>.2022</w:t>
      </w:r>
      <w:r w:rsidR="007C1010" w:rsidRPr="000C6FA2">
        <w:t xml:space="preserve"> r.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167BD3" w:rsidRPr="000C6FA2" w:rsidRDefault="00167BD3" w:rsidP="00730549">
      <w:pPr>
        <w:pStyle w:val="Akapitzlist"/>
        <w:numPr>
          <w:ilvl w:val="0"/>
          <w:numId w:val="11"/>
        </w:numPr>
        <w:jc w:val="both"/>
      </w:pPr>
      <w:r w:rsidRPr="000C6FA2">
        <w:t>kosztorys ofertowy</w:t>
      </w:r>
      <w:r w:rsidR="007929FF" w:rsidRPr="000C6FA2">
        <w:t xml:space="preserve"> </w:t>
      </w:r>
      <w:r w:rsidRPr="000C6FA2">
        <w:t xml:space="preserve">z wartością robót stanowiącą cenę </w:t>
      </w:r>
      <w:r w:rsidR="007929FF" w:rsidRPr="000C6FA2">
        <w:t xml:space="preserve">zamówienia </w:t>
      </w:r>
      <w:r w:rsidRPr="000C6FA2">
        <w:t xml:space="preserve">zgodny z </w:t>
      </w:r>
      <w:r w:rsidR="00FB61B7">
        <w:rPr>
          <w:b/>
        </w:rPr>
        <w:t>Załącznikiem nr  </w:t>
      </w:r>
      <w:r w:rsidR="0056243E">
        <w:rPr>
          <w:b/>
        </w:rPr>
        <w:t xml:space="preserve">2a </w:t>
      </w:r>
      <w:r w:rsidR="00FB61B7">
        <w:rPr>
          <w:b/>
        </w:rPr>
        <w:t xml:space="preserve">do 2k </w:t>
      </w:r>
      <w:r w:rsidR="00FB61B7" w:rsidRPr="00FB61B7">
        <w:t>do</w:t>
      </w:r>
      <w:r w:rsidR="00FB61B7">
        <w:rPr>
          <w:b/>
        </w:rPr>
        <w:t xml:space="preserve"> </w:t>
      </w:r>
      <w:r w:rsidR="00BC3AE1" w:rsidRPr="000C6FA2">
        <w:t>SWZ</w:t>
      </w:r>
      <w:r w:rsidR="009F6111" w:rsidRPr="000C6FA2">
        <w:t xml:space="preserve"> (zawierający poszczególne pozycje przedmiarowe wraz z cenami jednostkowymi)</w:t>
      </w:r>
      <w:r w:rsidR="00BC3AE1" w:rsidRPr="000C6FA2">
        <w:t xml:space="preserve"> - </w:t>
      </w:r>
      <w:r w:rsidRPr="000C6FA2">
        <w:t>zaleca się wersję uproszczoną kosztorysu ofertowego</w:t>
      </w:r>
      <w:r w:rsidR="007929FF" w:rsidRPr="000C6FA2">
        <w:t>;</w:t>
      </w:r>
    </w:p>
    <w:p w:rsidR="002F0927" w:rsidRPr="000C6FA2" w:rsidRDefault="004E38CD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730549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8C164E" w:rsidRPr="000C6FA2" w:rsidRDefault="008C164E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zobowiązanie</w:t>
      </w:r>
      <w:r w:rsidR="00270B4A" w:rsidRPr="000C6FA2">
        <w:t xml:space="preserve"> podmiotu trzeciego</w:t>
      </w:r>
      <w:r w:rsidRPr="000C6FA2">
        <w:t xml:space="preserve"> </w:t>
      </w:r>
      <w:r w:rsidR="00270B4A" w:rsidRPr="000C6FA2">
        <w:t>do oddania do dyspozycji Wykonawcy niezbędnych zasobów na potrzeby realizacji zamówienia – dotyczy ofert, w których Wykonawca</w:t>
      </w:r>
      <w:r w:rsidR="00D56230" w:rsidRPr="000C6FA2">
        <w:t>/Wykonawcy wspólnie ubiegający</w:t>
      </w:r>
      <w:r w:rsidR="00270B4A" w:rsidRPr="000C6FA2">
        <w:t xml:space="preserve"> się o udzielenie zamówienia nie spełnia/spełniają samodzielnie warunków udziału w postępowaniu;</w:t>
      </w:r>
    </w:p>
    <w:p w:rsidR="00270B4A" w:rsidRPr="000C6FA2" w:rsidRDefault="00270B4A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lastRenderedPageBreak/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F16859" w:rsidRPr="00AB0E31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AB0E31" w:rsidRPr="00AB0E31" w:rsidRDefault="00AB0E31" w:rsidP="00AB0E31">
      <w:pPr>
        <w:spacing w:after="120"/>
        <w:jc w:val="both"/>
        <w:rPr>
          <w:u w:val="single"/>
        </w:rPr>
      </w:pP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X. Sposób oraz termin składania ofert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D42B11">
        <w:rPr>
          <w:rFonts w:cs="Times New Roman"/>
        </w:rPr>
        <w:t>18</w:t>
      </w:r>
      <w:r w:rsidR="00395636">
        <w:rPr>
          <w:rFonts w:cs="Times New Roman"/>
        </w:rPr>
        <w:t>.</w:t>
      </w:r>
      <w:r w:rsidR="0040651D" w:rsidRPr="000C6FA2">
        <w:rPr>
          <w:rFonts w:cs="Times New Roman"/>
        </w:rPr>
        <w:t>0</w:t>
      </w:r>
      <w:r w:rsidR="00D42B11">
        <w:rPr>
          <w:rFonts w:cs="Times New Roman"/>
        </w:rPr>
        <w:t>8</w:t>
      </w:r>
      <w:r w:rsidR="0040651D" w:rsidRPr="000C6FA2">
        <w:rPr>
          <w:rFonts w:cs="Times New Roman"/>
        </w:rPr>
        <w:t>.2022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D42B11">
        <w:rPr>
          <w:rFonts w:cs="Times New Roman"/>
        </w:rPr>
        <w:t>18</w:t>
      </w:r>
      <w:r w:rsidR="0040651D" w:rsidRPr="000C6FA2">
        <w:rPr>
          <w:rFonts w:cs="Times New Roman"/>
        </w:rPr>
        <w:t>.0</w:t>
      </w:r>
      <w:r w:rsidR="00D42B11">
        <w:rPr>
          <w:rFonts w:cs="Times New Roman"/>
        </w:rPr>
        <w:t>8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96493D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D06F90" w:rsidRPr="000C6FA2" w:rsidRDefault="001A5E92" w:rsidP="0096493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0C6FA2">
        <w:rPr>
          <w:rFonts w:cs="Times New Roman"/>
        </w:rPr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2021 r. poz. 523, 1292, 1559 i 2054)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 w:rsidRPr="000C6FA2">
        <w:rPr>
          <w:rFonts w:cs="Times New Roman"/>
        </w:rPr>
        <w:t xml:space="preserve"> oraz z 2020 r. poz. 2023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633D75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96493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734077" w:rsidRPr="000C6FA2">
        <w:rPr>
          <w:rFonts w:cs="Times New Roman"/>
        </w:rPr>
        <w:t>zdolności technicznej i zawodowej</w:t>
      </w:r>
    </w:p>
    <w:p w:rsidR="00714F43" w:rsidRDefault="00734077" w:rsidP="00A20D63">
      <w:pPr>
        <w:pStyle w:val="Akapitzlist"/>
        <w:numPr>
          <w:ilvl w:val="0"/>
          <w:numId w:val="30"/>
        </w:numPr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Zamawiający uzna warunek za spełnio</w:t>
      </w:r>
      <w:r w:rsidR="007D6469" w:rsidRPr="000C6FA2">
        <w:rPr>
          <w:rFonts w:eastAsia="Times New Roman"/>
          <w:lang w:eastAsia="pl-PL"/>
        </w:rPr>
        <w:t>ny, jeżeli Wykonawca wykaże, że</w:t>
      </w:r>
      <w:r w:rsidR="00714F43">
        <w:rPr>
          <w:rFonts w:eastAsia="Times New Roman"/>
          <w:lang w:eastAsia="pl-PL"/>
        </w:rPr>
        <w:t>:</w:t>
      </w:r>
    </w:p>
    <w:p w:rsidR="00A62240" w:rsidRPr="00714F43" w:rsidRDefault="00BC365C" w:rsidP="00714F43">
      <w:pPr>
        <w:pStyle w:val="Akapitzlist"/>
        <w:numPr>
          <w:ilvl w:val="0"/>
          <w:numId w:val="45"/>
        </w:numPr>
        <w:jc w:val="both"/>
        <w:rPr>
          <w:rFonts w:eastAsia="Times New Roman"/>
          <w:lang w:eastAsia="pl-PL"/>
        </w:rPr>
      </w:pPr>
      <w:r w:rsidRPr="000C6FA2">
        <w:t xml:space="preserve">dysponuje co najmniej jedną osobą, która pełnić będzie funkcję kierownika robót budowlanych posiadającą określone przepisami uprawnienia do kierowania robotami budowlanymi w specjalności </w:t>
      </w:r>
      <w:r w:rsidR="00F323B9">
        <w:t xml:space="preserve">inżynieryjnej drogowej </w:t>
      </w:r>
      <w:r w:rsidRPr="000C6FA2">
        <w:t xml:space="preserve">(lub równoważne otrzymane na podstawie wcześniejszych przepisów) z przynależnością do właściwej izby samorządu zawodowego- kierownik robót musi posiadać co najmniej </w:t>
      </w:r>
      <w:r w:rsidR="00550591" w:rsidRPr="000C6FA2">
        <w:t>pięcio</w:t>
      </w:r>
      <w:r w:rsidRPr="000C6FA2">
        <w:t>letnie doświadczenie w tym zakresie liczone od dnia uzyskania uprawnień</w:t>
      </w:r>
      <w:r w:rsidR="00714F43">
        <w:t>,</w:t>
      </w:r>
    </w:p>
    <w:p w:rsidR="00714F43" w:rsidRPr="00714F43" w:rsidRDefault="00714F43" w:rsidP="00714F43">
      <w:pPr>
        <w:pStyle w:val="Akapitzlist"/>
        <w:numPr>
          <w:ilvl w:val="0"/>
          <w:numId w:val="45"/>
        </w:numPr>
        <w:jc w:val="both"/>
        <w:rPr>
          <w:rFonts w:eastAsia="Times New Roman"/>
          <w:lang w:eastAsia="pl-PL"/>
        </w:rPr>
      </w:pPr>
      <w:r w:rsidRPr="00714F43">
        <w:rPr>
          <w:rFonts w:eastAsia="Times New Roman"/>
          <w:lang w:eastAsia="pl-PL"/>
        </w:rPr>
        <w:t xml:space="preserve">dysponuje co najmniej jedną osobą, która pełnić będzie funkcję kierownika robót budowlanych posiadającą określone przepisami uprawnienia do kierowania robotami budowlanymi w specjalności konstrukcyjno-budowlanej (lub równoważne otrzymane na podstawie wcześniejszych przepisów) z przynależnością do właściwej izby samorządu </w:t>
      </w:r>
      <w:r w:rsidRPr="00714F43">
        <w:rPr>
          <w:rFonts w:eastAsia="Times New Roman"/>
          <w:lang w:eastAsia="pl-PL"/>
        </w:rPr>
        <w:lastRenderedPageBreak/>
        <w:t>zawodowego- kierownik robót musi posiadać co najmniej pięcioletnie doświadczenie w tym zakresie liczone od dnia uzyskania uprawnień</w:t>
      </w:r>
      <w:r>
        <w:rPr>
          <w:rFonts w:eastAsia="Times New Roman"/>
          <w:lang w:eastAsia="pl-PL"/>
        </w:rPr>
        <w:t>.</w:t>
      </w:r>
    </w:p>
    <w:p w:rsidR="002F01D9" w:rsidRPr="000C6FA2" w:rsidRDefault="002F01D9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116 ust 2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Zamawiający</w:t>
      </w:r>
      <w:r w:rsidR="00D72A7E" w:rsidRPr="000C6FA2">
        <w:rPr>
          <w:rFonts w:eastAsia="Times New Roman"/>
          <w:lang w:eastAsia="pl-PL"/>
        </w:rPr>
        <w:t xml:space="preserve"> oceniając zdolność techniczną lub zawodową</w:t>
      </w:r>
      <w:r w:rsidRPr="000C6FA2">
        <w:rPr>
          <w:rFonts w:eastAsia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0C6FA2" w:rsidRDefault="00746C8E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3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323B9" w:rsidRDefault="00746C8E" w:rsidP="00746C8E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FE61ED" w:rsidRPr="000C6FA2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96493D">
      <w:pPr>
        <w:pStyle w:val="Akapitzlist"/>
        <w:numPr>
          <w:ilvl w:val="0"/>
          <w:numId w:val="3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8D2856" w:rsidRDefault="004D4E19" w:rsidP="00F323B9">
      <w:pPr>
        <w:spacing w:after="120"/>
        <w:ind w:left="708"/>
        <w:jc w:val="both"/>
      </w:pPr>
      <w:r w:rsidRPr="000C6FA2">
        <w:t xml:space="preserve">- </w:t>
      </w:r>
      <w:r w:rsidRPr="000C6FA2">
        <w:rPr>
          <w:rFonts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 w:rsidRPr="000C6FA2">
        <w:rPr>
          <w:rFonts w:cs="Times New Roman"/>
        </w:rPr>
        <w:t>zorem stanowiącym załącznik nr 7</w:t>
      </w:r>
      <w:r w:rsidRPr="000C6FA2">
        <w:rPr>
          <w:rFonts w:cs="Times New Roman"/>
        </w:rPr>
        <w:t xml:space="preserve"> do SWZ)</w:t>
      </w:r>
      <w:r w:rsidRPr="000C6FA2">
        <w:t xml:space="preserve"> w tym:</w:t>
      </w:r>
      <w:r w:rsidR="00F323B9">
        <w:t xml:space="preserve"> </w:t>
      </w:r>
    </w:p>
    <w:p w:rsidR="004D4E19" w:rsidRPr="00960691" w:rsidRDefault="004D4E19" w:rsidP="00960691">
      <w:pPr>
        <w:pStyle w:val="Akapitzlist"/>
        <w:numPr>
          <w:ilvl w:val="0"/>
          <w:numId w:val="46"/>
        </w:numPr>
        <w:spacing w:after="120"/>
        <w:jc w:val="both"/>
      </w:pPr>
      <w:r w:rsidRPr="00960691">
        <w:t xml:space="preserve">co najmniej jedną osobą, która pełnić będzie funkcję kierownika robót budowlanych posiadającą określone przepisami uprawnienia do kierowania robotami budowlanymi w specjalności </w:t>
      </w:r>
      <w:r w:rsidR="00F323B9" w:rsidRPr="00960691">
        <w:t>inżynieryjnej – drogowej</w:t>
      </w:r>
      <w:r w:rsidRPr="00960691">
        <w:t xml:space="preserve"> (lub równoważne otrzymane na podstawie wcześniejszych przepisów) z przynależnością do właściwej izby samorządu </w:t>
      </w:r>
      <w:r w:rsidRPr="00960691">
        <w:lastRenderedPageBreak/>
        <w:t>zawodowego - kierownik robót musi posiadać co najmniej pięcioletnie doświadczenie w tym zakresie licz</w:t>
      </w:r>
      <w:r w:rsidR="00960691" w:rsidRPr="00960691">
        <w:t>one od dnia uzyskania uprawnień,</w:t>
      </w:r>
    </w:p>
    <w:p w:rsidR="00960691" w:rsidRPr="00960691" w:rsidRDefault="00960691" w:rsidP="0096069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</w:rPr>
      </w:pPr>
      <w:r w:rsidRPr="00960691">
        <w:t xml:space="preserve">co najmniej jedną osobą, która pełnić będzie funkcję kierownika robót budowlanych posiadającą określone przepisami uprawnienia do kierowania robotami budowlanymi w specjalności konstrukcyjno-budowlanej (lub równoważne otrzymane na podstawie wcześniejszych przepisów) z przynależnością do właściwej izby samorządu zawodowego - kierownik robót musi posiadać co najmniej pięcioletnie doświadczenie w tym zakresie liczone od dnia uzyskania uprawnień. </w:t>
      </w:r>
    </w:p>
    <w:p w:rsidR="00E91370" w:rsidRPr="000C6FA2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0C6FA2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0C6FA2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Cenę stanowi w</w:t>
      </w:r>
      <w:r w:rsidR="00E91370" w:rsidRPr="000C6FA2">
        <w:rPr>
          <w:rFonts w:cs="Times New Roman"/>
          <w:b/>
        </w:rPr>
        <w:t>ynagrodzenie za wykonanie przedmiotu zamówienia</w:t>
      </w:r>
      <w:r w:rsidRPr="000C6FA2">
        <w:rPr>
          <w:rFonts w:cs="Times New Roman"/>
          <w:b/>
        </w:rPr>
        <w:t>, które</w:t>
      </w:r>
      <w:r w:rsidR="00E91370" w:rsidRPr="000C6FA2">
        <w:rPr>
          <w:rFonts w:cs="Times New Roman"/>
          <w:b/>
        </w:rPr>
        <w:t xml:space="preserve"> jest wynagrodzeniem kosztorysowym. Rozliczenie robót nastąpi na podstawie kosztorysu powykonawczego.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Ceny jednostkowe oraz wartość poszczególnych pozycji kosztorysu powinny być podane w kwocie netto.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lastRenderedPageBreak/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60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W1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00044C" w:rsidRPr="000C6FA2" w:rsidRDefault="0000044C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 xml:space="preserve">2) Okres 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40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W2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Rmax</w:t>
      </w:r>
      <w:proofErr w:type="spellEnd"/>
      <w:r w:rsidRPr="000C6FA2">
        <w:t xml:space="preserve"> – Najdłuższy czas udzielonej gwarancji w  miesiącach spośród złożonych ofert.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Rocena</w:t>
      </w:r>
      <w:proofErr w:type="spellEnd"/>
      <w:r w:rsidRPr="000C6FA2">
        <w:t xml:space="preserve"> – Okres gwarancji w miesiącach w ocenianej ofercie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Maksymalny, punktowany okres gwarancji to 60 miesięcy. W przypadku kiedy Wykonawca zaproponuje okres gwarancji dłuższy niż 60 miesiące do wyliczenia punktów uzyskanych za okres gwarancji przyjmowane będzie 60 miesięcy.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 = W1 + W2</w:t>
      </w:r>
    </w:p>
    <w:p w:rsidR="00CE3526" w:rsidRPr="000C6FA2" w:rsidRDefault="00CE3526" w:rsidP="00CE3526">
      <w:pPr>
        <w:spacing w:after="0"/>
        <w:ind w:left="426"/>
        <w:jc w:val="both"/>
      </w:pPr>
      <w:r w:rsidRPr="000C6FA2">
        <w:t>W – łączna wartość punktowa oferty.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Pr="000C6FA2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zostanie wybrana, zobowiązany będzie do wniesienia zabezpieczenia należytego wykonania umowy najpóźniej w dniu jej zawarcia, w wysokości 5 % ceny całkowitej brutto</w:t>
      </w:r>
      <w:r w:rsidR="000F0EB7" w:rsidRPr="000C6FA2">
        <w:rPr>
          <w:rFonts w:cs="Times New Roman"/>
        </w:rPr>
        <w:t xml:space="preserve"> podanej w ofercie.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Zabezpieczenie może być wnoszone według wyboru Wykonawcy w jednej lub w kilku następujących formach: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pieniądzu</w:t>
      </w:r>
      <w:r w:rsidR="009E4ABF" w:rsidRPr="000C6FA2">
        <w:rPr>
          <w:rFonts w:cs="Times New Roman"/>
        </w:rPr>
        <w:t xml:space="preserve"> przelewem na konto Zamawiającego – PBS Tomaszów Mazowiecki O/Budziszewice 46 8985 0004 0040 0400 0097 0010 z dopiskiem: „Zabezpieczenie - „</w:t>
      </w:r>
      <w:r w:rsidR="00A20D63">
        <w:rPr>
          <w:rFonts w:cs="Times New Roman"/>
        </w:rPr>
        <w:t xml:space="preserve">Przebudowa dróg wewnętrznych na terenie Gminy </w:t>
      </w:r>
      <w:r w:rsidR="00F323B9">
        <w:rPr>
          <w:rFonts w:cs="Times New Roman"/>
        </w:rPr>
        <w:t>Żelechlinek</w:t>
      </w:r>
      <w:r w:rsidR="00960691">
        <w:rPr>
          <w:rFonts w:cs="Times New Roman"/>
        </w:rPr>
        <w:t>”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bankowych lub poręczeniach spółdzielczej kas</w:t>
      </w:r>
      <w:r w:rsidR="00CD581F" w:rsidRPr="000C6FA2">
        <w:rPr>
          <w:rFonts w:cs="Times New Roman"/>
        </w:rPr>
        <w:t>y oszczędnościowo-kredytowej, z </w:t>
      </w:r>
      <w:r w:rsidRPr="000C6FA2">
        <w:rPr>
          <w:rFonts w:cs="Times New Roman"/>
        </w:rPr>
        <w:t xml:space="preserve">tym że zobowiązanie kasy jest zawsze zobowiązaniem pieniężnym;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gwarancjach bankowych;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gwarancjach ubezpieczeniowych;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udzielanych przez podmioty, o których mowa w art. 6b ust. 5 pkt. 2 ustawy z dnia 9 listopada 2000 r. o utworzeniu Polskiej Age</w:t>
      </w:r>
      <w:r w:rsidR="004805CE" w:rsidRPr="000C6FA2">
        <w:rPr>
          <w:rFonts w:cs="Times New Roman"/>
        </w:rPr>
        <w:t>ncji Rozwoju Przedsiębiorczości.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przypadku wniesienia zabezpieczenia w formie pien</w:t>
      </w:r>
      <w:r w:rsidR="004805CE" w:rsidRPr="000C6FA2">
        <w:rPr>
          <w:rFonts w:cs="Times New Roman"/>
        </w:rPr>
        <w:t>iężnej Zamawiający przechow</w:t>
      </w:r>
      <w:r w:rsidR="00E46CF4" w:rsidRPr="000C6FA2">
        <w:rPr>
          <w:rFonts w:cs="Times New Roman"/>
        </w:rPr>
        <w:t>uje</w:t>
      </w:r>
      <w:r w:rsidR="004805CE" w:rsidRPr="000C6FA2">
        <w:rPr>
          <w:rFonts w:cs="Times New Roman"/>
        </w:rPr>
        <w:t xml:space="preserve"> je </w:t>
      </w:r>
      <w:r w:rsidRPr="000C6FA2">
        <w:rPr>
          <w:rFonts w:cs="Times New Roman"/>
        </w:rPr>
        <w:t xml:space="preserve">na oprocentowanym rachunku bankowym. </w:t>
      </w:r>
      <w:r w:rsidR="004805CE" w:rsidRPr="000C6FA2">
        <w:rPr>
          <w:rFonts w:cs="Times New Roman"/>
        </w:rPr>
        <w:t>Zamawiający zwraca zabezpieczenie wniesione w</w:t>
      </w:r>
      <w:r w:rsidR="00CD581F" w:rsidRPr="000C6FA2">
        <w:rPr>
          <w:rFonts w:cs="Times New Roman"/>
        </w:rPr>
        <w:t> </w:t>
      </w:r>
      <w:r w:rsidR="004805CE" w:rsidRPr="000C6FA2">
        <w:rPr>
          <w:rFonts w:cs="Times New Roman"/>
        </w:rPr>
        <w:t>pieniądzu z odsetkami wynikającymi z umowy rachunku bankowego, na którym było ono przechowywane, pomniejszone o koszt prowadzenia tego rac</w:t>
      </w:r>
      <w:r w:rsidR="00CD581F" w:rsidRPr="000C6FA2">
        <w:rPr>
          <w:rFonts w:cs="Times New Roman"/>
        </w:rPr>
        <w:t>hunku oraz prowizji bankowej za </w:t>
      </w:r>
      <w:r w:rsidR="004805CE" w:rsidRPr="000C6FA2">
        <w:rPr>
          <w:rFonts w:cs="Times New Roman"/>
        </w:rPr>
        <w:t>przelew pieniędzy na rachunek bankowy wykonawcy.</w:t>
      </w:r>
    </w:p>
    <w:p w:rsidR="00500C56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 treści zabezpieczenia przedstawionego w formie gwarancji/poręczenia winno wynikać, </w:t>
      </w:r>
      <w:r w:rsidR="00500C56" w:rsidRPr="000C6FA2">
        <w:rPr>
          <w:rFonts w:cs="Times New Roman"/>
        </w:rPr>
        <w:t xml:space="preserve">że na </w:t>
      </w:r>
      <w:r w:rsidR="00500C56" w:rsidRPr="000C6FA2">
        <w:rPr>
          <w:rFonts w:cs="Times New Roman"/>
          <w:b/>
        </w:rPr>
        <w:t>pierwsze pisemne żądanie</w:t>
      </w:r>
      <w:r w:rsidR="00500C56" w:rsidRPr="000C6FA2">
        <w:rPr>
          <w:rFonts w:cs="Times New Roman"/>
        </w:rPr>
        <w:t xml:space="preserve"> </w:t>
      </w:r>
      <w:r w:rsidR="00500C56" w:rsidRPr="000C6FA2">
        <w:rPr>
          <w:rFonts w:cs="Times New Roman"/>
          <w:b/>
        </w:rPr>
        <w:t xml:space="preserve">Zamawiającego </w:t>
      </w:r>
      <w:r w:rsidR="00500C56" w:rsidRPr="000C6FA2">
        <w:rPr>
          <w:rFonts w:cs="Times New Roman"/>
        </w:rPr>
        <w:t>wzywające do za</w:t>
      </w:r>
      <w:r w:rsidR="00CD581F" w:rsidRPr="000C6FA2">
        <w:rPr>
          <w:rFonts w:cs="Times New Roman"/>
        </w:rPr>
        <w:t>płaty zabezpieczenia, zgodnie z </w:t>
      </w:r>
      <w:r w:rsidR="00500C56" w:rsidRPr="000C6FA2">
        <w:rPr>
          <w:rFonts w:cs="Times New Roman"/>
        </w:rPr>
        <w:t xml:space="preserve">warunkami przetargu, następuje </w:t>
      </w:r>
      <w:r w:rsidR="00500C56" w:rsidRPr="000C6FA2">
        <w:rPr>
          <w:rFonts w:cs="Times New Roman"/>
          <w:b/>
        </w:rPr>
        <w:t xml:space="preserve">bezwarunkowa i nieodwołalna </w:t>
      </w:r>
      <w:r w:rsidR="00500C56" w:rsidRPr="000C6FA2">
        <w:rPr>
          <w:rFonts w:cs="Times New Roman"/>
        </w:rPr>
        <w:t>wypłata należności</w:t>
      </w:r>
      <w:r w:rsidR="00CD581F" w:rsidRPr="000C6FA2">
        <w:rPr>
          <w:rFonts w:cs="Times New Roman"/>
        </w:rPr>
        <w:t>, do </w:t>
      </w:r>
      <w:r w:rsidR="00500C56" w:rsidRPr="000C6FA2">
        <w:rPr>
          <w:rFonts w:cs="Times New Roman"/>
        </w:rPr>
        <w:t>zapłacenia których na rzecz Zamawiającego jest zobowiązany Wykonawca.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Pr="000C6FA2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A20D63">
        <w:rPr>
          <w:rFonts w:cs="Times New Roman"/>
        </w:rPr>
        <w:t>Przebudowa dróg wewnętrznych na terenie Gminy Żelechlinek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2021</w:t>
      </w:r>
      <w:r w:rsidR="00211A74" w:rsidRPr="000C6FA2">
        <w:rPr>
          <w:rFonts w:cs="Times New Roman"/>
        </w:rPr>
        <w:t xml:space="preserve"> r. poz. 1129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 xml:space="preserve"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</w:t>
      </w:r>
      <w:r w:rsidR="007E2E4C" w:rsidRPr="000C6FA2">
        <w:t xml:space="preserve">W przypadku zawarcia umowy o dofinansowanie zadania inwestycyjnego Zamawiający przechowuje protokół postępowania wraz załącznikami przez </w:t>
      </w:r>
      <w:r w:rsidR="00CA073E" w:rsidRPr="000C6FA2">
        <w:t xml:space="preserve">okres wynikający z zapisów </w:t>
      </w:r>
      <w:r w:rsidR="007E2E4C" w:rsidRPr="000C6FA2">
        <w:t>umowy</w:t>
      </w:r>
      <w:r w:rsidR="00A20D63">
        <w:t xml:space="preserve"> o </w:t>
      </w:r>
      <w:r w:rsidR="00213B65" w:rsidRPr="000C6FA2">
        <w:t>dofinansowanie</w:t>
      </w:r>
      <w:r w:rsidR="007E2E4C" w:rsidRPr="000C6FA2">
        <w:t xml:space="preserve">. </w:t>
      </w:r>
      <w:r w:rsidRPr="000C6FA2">
        <w:t>Ponadto dane osobowe będą przechowywane przez okres oraz w zakresie wymaganym przez ustawę z </w:t>
      </w:r>
      <w:r w:rsidR="007E2E4C" w:rsidRPr="000C6FA2">
        <w:t>dnia 14 lipca 1983 r. o </w:t>
      </w:r>
      <w:r w:rsidRPr="000C6FA2">
        <w:t>narodowym zasobie archiwalnym i archiwach (</w:t>
      </w:r>
      <w:proofErr w:type="spellStart"/>
      <w:r w:rsidRPr="000C6FA2">
        <w:t>t.j</w:t>
      </w:r>
      <w:proofErr w:type="spellEnd"/>
      <w:r w:rsidRPr="000C6FA2">
        <w:t>. Dz. U. z 2020 r. poz. 164 z </w:t>
      </w:r>
      <w:proofErr w:type="spellStart"/>
      <w:r w:rsidRPr="000C6FA2">
        <w:t>późn</w:t>
      </w:r>
      <w:proofErr w:type="spellEnd"/>
      <w:r w:rsidRPr="000C6FA2">
        <w:t>. zm.), akty wykonawcze do tej ustawy oraz inne przepisy prawa.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5570D1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może w celu potwierdzenia spełniania war</w:t>
      </w:r>
      <w:r w:rsidR="00624EE2" w:rsidRPr="000C6FA2">
        <w:rPr>
          <w:rFonts w:cs="Times New Roman"/>
        </w:rPr>
        <w:t>unków udziału w postępowaniu, w </w:t>
      </w:r>
      <w:r w:rsidRPr="000C6FA2">
        <w:rPr>
          <w:rFonts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0C6FA2">
        <w:rPr>
          <w:rFonts w:cs="Times New Roman"/>
        </w:rPr>
        <w:t>lizacji których te zdolności są </w:t>
      </w:r>
      <w:r w:rsidRPr="000C6FA2">
        <w:rPr>
          <w:rFonts w:cs="Times New Roman"/>
        </w:rPr>
        <w:t>wymagane.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który polega na zdolnościach lub sytuacji podmiotów udostępniających zasoby, składa, </w:t>
      </w:r>
      <w:r w:rsidRPr="000C6FA2">
        <w:rPr>
          <w:rFonts w:cs="Times New Roman"/>
          <w:u w:val="single"/>
        </w:rPr>
        <w:t xml:space="preserve">wraz z ofertą, </w:t>
      </w:r>
      <w:r w:rsidRPr="000C6FA2">
        <w:rPr>
          <w:rFonts w:cs="Times New Roman"/>
        </w:rPr>
        <w:t>zobowiązanie podmiotu udostępniającego zasoby do oddania mu do</w:t>
      </w:r>
      <w:r w:rsidR="00021100" w:rsidRPr="000C6FA2">
        <w:rPr>
          <w:rFonts w:cs="Times New Roman"/>
        </w:rPr>
        <w:t> </w:t>
      </w:r>
      <w:r w:rsidRPr="000C6FA2">
        <w:rPr>
          <w:rFonts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B10344" w:rsidRPr="000C6FA2">
        <w:rPr>
          <w:rFonts w:cs="Times New Roman"/>
        </w:rPr>
        <w:t>owiązania stanowi Załącznik nr 8</w:t>
      </w:r>
      <w:r w:rsidR="002801E9" w:rsidRPr="000C6FA2">
        <w:rPr>
          <w:rFonts w:cs="Times New Roman"/>
        </w:rPr>
        <w:t xml:space="preserve"> do SWZ</w:t>
      </w:r>
      <w:r w:rsidR="00021100" w:rsidRPr="000C6FA2">
        <w:rPr>
          <w:rFonts w:cs="Times New Roman"/>
        </w:rPr>
        <w:t>.</w:t>
      </w:r>
    </w:p>
    <w:p w:rsidR="00021100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</w:t>
      </w:r>
      <w:r w:rsidRPr="000C6FA2">
        <w:rPr>
          <w:rFonts w:cs="Times New Roman"/>
        </w:rPr>
        <w:lastRenderedPageBreak/>
        <w:t>zachodzą wobec tego podmiotu podstawy wykluczenia, które zostały przewidziane względem Wykonawcy.</w:t>
      </w:r>
    </w:p>
    <w:p w:rsidR="002801E9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Pr="000C6FA2" w:rsidRDefault="00FA4533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0C6FA2">
        <w:rPr>
          <w:rFonts w:cs="Times New Roman"/>
        </w:rPr>
        <w:t>rozdz. XII.3.1)</w:t>
      </w:r>
      <w:r w:rsidRPr="000C6FA2">
        <w:rPr>
          <w:rFonts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0C6FA2">
        <w:rPr>
          <w:rFonts w:cs="Times New Roman"/>
        </w:rPr>
        <w:t xml:space="preserve">zgodnie ze wzorem stanowiącym </w:t>
      </w:r>
      <w:r w:rsidRPr="000C6FA2">
        <w:rPr>
          <w:rFonts w:cs="Times New Roman"/>
        </w:rPr>
        <w:t>załącznik nr 3 do SWZ).</w:t>
      </w:r>
    </w:p>
    <w:p w:rsidR="00017675" w:rsidRPr="000C6FA2" w:rsidRDefault="00017675" w:rsidP="00017675">
      <w:pPr>
        <w:spacing w:after="120"/>
        <w:jc w:val="both"/>
        <w:rPr>
          <w:rFonts w:cs="Times New Roman"/>
        </w:rPr>
      </w:pP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0C6FA2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0C6FA2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0C6FA2" w:rsidRDefault="003F2B6F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</w:rPr>
      </w:pP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lastRenderedPageBreak/>
        <w:t xml:space="preserve">Przedmiary robót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5D1E3C" w:rsidRPr="000C6FA2">
        <w:rPr>
          <w:rFonts w:asciiTheme="minorHAnsi" w:hAnsiTheme="minorHAnsi"/>
          <w:sz w:val="22"/>
          <w:szCs w:val="22"/>
        </w:rPr>
        <w:t>a</w:t>
      </w:r>
      <w:r w:rsidR="00B73C80" w:rsidRPr="000C6FA2">
        <w:rPr>
          <w:rFonts w:asciiTheme="minorHAnsi" w:hAnsiTheme="minorHAnsi"/>
          <w:sz w:val="22"/>
          <w:szCs w:val="22"/>
        </w:rPr>
        <w:t xml:space="preserve"> </w:t>
      </w:r>
      <w:r w:rsidR="005570D1">
        <w:rPr>
          <w:rFonts w:asciiTheme="minorHAnsi" w:hAnsiTheme="minorHAnsi"/>
          <w:sz w:val="22"/>
          <w:szCs w:val="22"/>
        </w:rPr>
        <w:t>-2k</w:t>
      </w:r>
      <w:r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B73C80" w:rsidRPr="000C6FA2">
        <w:t>,</w:t>
      </w:r>
    </w:p>
    <w:p w:rsidR="00AF31FA" w:rsidRPr="000C6FA2" w:rsidRDefault="00520D12" w:rsidP="00730549">
      <w:pPr>
        <w:numPr>
          <w:ilvl w:val="0"/>
          <w:numId w:val="28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B73C80" w:rsidRPr="000C6FA2">
        <w:t>,</w:t>
      </w:r>
    </w:p>
    <w:p w:rsidR="004D4E19" w:rsidRPr="000C6FA2" w:rsidRDefault="00B10344" w:rsidP="00730549">
      <w:pPr>
        <w:numPr>
          <w:ilvl w:val="0"/>
          <w:numId w:val="28"/>
        </w:numPr>
        <w:spacing w:after="0" w:line="276" w:lineRule="auto"/>
      </w:pPr>
      <w:r w:rsidRPr="000C6FA2">
        <w:t>Wykaz osób – załącznik nr 7</w:t>
      </w:r>
      <w:r w:rsidR="004D4E19" w:rsidRPr="000C6FA2">
        <w:t xml:space="preserve"> </w:t>
      </w:r>
      <w:r w:rsidR="004231E9" w:rsidRPr="000C6FA2">
        <w:t>do SWZ,</w:t>
      </w:r>
    </w:p>
    <w:p w:rsidR="00520D12" w:rsidRPr="000C6FA2" w:rsidRDefault="00520D12" w:rsidP="00520D12">
      <w:pPr>
        <w:numPr>
          <w:ilvl w:val="0"/>
          <w:numId w:val="28"/>
        </w:numPr>
        <w:spacing w:after="0" w:line="276" w:lineRule="auto"/>
      </w:pPr>
      <w:r w:rsidRPr="000C6FA2">
        <w:t xml:space="preserve">Wzór zobowiązania podmiotu trzeciego – załącznik nr </w:t>
      </w:r>
      <w:r w:rsidR="00B10344" w:rsidRPr="000C6FA2">
        <w:t>8</w:t>
      </w:r>
      <w:r w:rsidRPr="000C6FA2">
        <w:t xml:space="preserve"> do SWZ</w:t>
      </w:r>
      <w:r w:rsidR="00B73C80" w:rsidRPr="000C6FA2">
        <w:t>,</w:t>
      </w:r>
    </w:p>
    <w:p w:rsidR="001D7F78" w:rsidRPr="000C6FA2" w:rsidRDefault="00AE1485" w:rsidP="00E83936">
      <w:pPr>
        <w:numPr>
          <w:ilvl w:val="0"/>
          <w:numId w:val="28"/>
        </w:numPr>
        <w:spacing w:after="0" w:line="276" w:lineRule="auto"/>
      </w:pPr>
      <w:r w:rsidRPr="000C6FA2">
        <w:t>Dokumentacje techniczne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E0" w:rsidRDefault="00526AE0" w:rsidP="00AA37D4">
      <w:pPr>
        <w:spacing w:after="0" w:line="240" w:lineRule="auto"/>
      </w:pPr>
      <w:r>
        <w:separator/>
      </w:r>
    </w:p>
  </w:endnote>
  <w:endnote w:type="continuationSeparator" w:id="0">
    <w:p w:rsidR="00526AE0" w:rsidRDefault="00526AE0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B9">
          <w:rPr>
            <w:noProof/>
          </w:rPr>
          <w:t>19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E0" w:rsidRDefault="00526AE0" w:rsidP="00AA37D4">
      <w:pPr>
        <w:spacing w:after="0" w:line="240" w:lineRule="auto"/>
      </w:pPr>
      <w:r>
        <w:separator/>
      </w:r>
    </w:p>
  </w:footnote>
  <w:footnote w:type="continuationSeparator" w:id="0">
    <w:p w:rsidR="00526AE0" w:rsidRDefault="00526AE0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0A04A0">
      <w:t>Przebudowa dróg wewnętrznych na terenie Gminy Żelechlinek</w:t>
    </w:r>
    <w:r>
      <w:t>”</w:t>
    </w:r>
  </w:p>
  <w:p w:rsidR="00AA37D4" w:rsidRDefault="00D42B11" w:rsidP="00AA37D4">
    <w:pPr>
      <w:pStyle w:val="Nagwek"/>
      <w:jc w:val="right"/>
    </w:pPr>
    <w:r>
      <w:t>Znak: RPR.271.1.7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6BE"/>
    <w:multiLevelType w:val="hybridMultilevel"/>
    <w:tmpl w:val="B5E8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92A89"/>
    <w:multiLevelType w:val="hybridMultilevel"/>
    <w:tmpl w:val="128E3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9749F"/>
    <w:multiLevelType w:val="hybridMultilevel"/>
    <w:tmpl w:val="AF78F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52197"/>
    <w:multiLevelType w:val="hybridMultilevel"/>
    <w:tmpl w:val="D10C6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62292F"/>
    <w:multiLevelType w:val="hybridMultilevel"/>
    <w:tmpl w:val="7B145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D7182"/>
    <w:multiLevelType w:val="hybridMultilevel"/>
    <w:tmpl w:val="8C7E3B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64C97"/>
    <w:multiLevelType w:val="hybridMultilevel"/>
    <w:tmpl w:val="0E088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C19F9"/>
    <w:multiLevelType w:val="hybridMultilevel"/>
    <w:tmpl w:val="24A8B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5A011A13"/>
    <w:multiLevelType w:val="hybridMultilevel"/>
    <w:tmpl w:val="267268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40"/>
  </w:num>
  <w:num w:numId="4">
    <w:abstractNumId w:val="6"/>
  </w:num>
  <w:num w:numId="5">
    <w:abstractNumId w:val="19"/>
  </w:num>
  <w:num w:numId="6">
    <w:abstractNumId w:val="34"/>
  </w:num>
  <w:num w:numId="7">
    <w:abstractNumId w:val="14"/>
  </w:num>
  <w:num w:numId="8">
    <w:abstractNumId w:val="44"/>
  </w:num>
  <w:num w:numId="9">
    <w:abstractNumId w:val="2"/>
  </w:num>
  <w:num w:numId="10">
    <w:abstractNumId w:val="22"/>
  </w:num>
  <w:num w:numId="11">
    <w:abstractNumId w:val="36"/>
  </w:num>
  <w:num w:numId="12">
    <w:abstractNumId w:val="43"/>
  </w:num>
  <w:num w:numId="13">
    <w:abstractNumId w:val="17"/>
  </w:num>
  <w:num w:numId="14">
    <w:abstractNumId w:val="12"/>
  </w:num>
  <w:num w:numId="15">
    <w:abstractNumId w:val="21"/>
  </w:num>
  <w:num w:numId="16">
    <w:abstractNumId w:val="26"/>
  </w:num>
  <w:num w:numId="17">
    <w:abstractNumId w:val="39"/>
  </w:num>
  <w:num w:numId="18">
    <w:abstractNumId w:val="9"/>
  </w:num>
  <w:num w:numId="19">
    <w:abstractNumId w:val="1"/>
  </w:num>
  <w:num w:numId="20">
    <w:abstractNumId w:val="45"/>
  </w:num>
  <w:num w:numId="21">
    <w:abstractNumId w:val="20"/>
  </w:num>
  <w:num w:numId="22">
    <w:abstractNumId w:val="15"/>
  </w:num>
  <w:num w:numId="23">
    <w:abstractNumId w:val="29"/>
  </w:num>
  <w:num w:numId="24">
    <w:abstractNumId w:val="27"/>
  </w:num>
  <w:num w:numId="25">
    <w:abstractNumId w:val="32"/>
  </w:num>
  <w:num w:numId="26">
    <w:abstractNumId w:val="7"/>
  </w:num>
  <w:num w:numId="27">
    <w:abstractNumId w:val="8"/>
  </w:num>
  <w:num w:numId="28">
    <w:abstractNumId w:val="42"/>
  </w:num>
  <w:num w:numId="29">
    <w:abstractNumId w:val="41"/>
  </w:num>
  <w:num w:numId="30">
    <w:abstractNumId w:val="30"/>
  </w:num>
  <w:num w:numId="31">
    <w:abstractNumId w:val="3"/>
  </w:num>
  <w:num w:numId="32">
    <w:abstractNumId w:val="13"/>
  </w:num>
  <w:num w:numId="33">
    <w:abstractNumId w:val="18"/>
  </w:num>
  <w:num w:numId="34">
    <w:abstractNumId w:val="24"/>
  </w:num>
  <w:num w:numId="35">
    <w:abstractNumId w:val="0"/>
  </w:num>
  <w:num w:numId="36">
    <w:abstractNumId w:val="38"/>
  </w:num>
  <w:num w:numId="37">
    <w:abstractNumId w:val="4"/>
  </w:num>
  <w:num w:numId="38">
    <w:abstractNumId w:val="33"/>
  </w:num>
  <w:num w:numId="39">
    <w:abstractNumId w:val="31"/>
  </w:num>
  <w:num w:numId="40">
    <w:abstractNumId w:val="25"/>
  </w:num>
  <w:num w:numId="41">
    <w:abstractNumId w:val="28"/>
  </w:num>
  <w:num w:numId="42">
    <w:abstractNumId w:val="16"/>
  </w:num>
  <w:num w:numId="43">
    <w:abstractNumId w:val="10"/>
  </w:num>
  <w:num w:numId="44">
    <w:abstractNumId w:val="35"/>
  </w:num>
  <w:num w:numId="45">
    <w:abstractNumId w:val="5"/>
  </w:num>
  <w:num w:numId="46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302A"/>
    <w:rsid w:val="00064764"/>
    <w:rsid w:val="00064AF6"/>
    <w:rsid w:val="000743D5"/>
    <w:rsid w:val="000762B2"/>
    <w:rsid w:val="00077977"/>
    <w:rsid w:val="0008582E"/>
    <w:rsid w:val="000876B2"/>
    <w:rsid w:val="00087EF6"/>
    <w:rsid w:val="000A04A0"/>
    <w:rsid w:val="000A0EE3"/>
    <w:rsid w:val="000A4980"/>
    <w:rsid w:val="000C0D77"/>
    <w:rsid w:val="000C1CDC"/>
    <w:rsid w:val="000C5532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B3281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2302"/>
    <w:rsid w:val="00233F29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218F1"/>
    <w:rsid w:val="00330955"/>
    <w:rsid w:val="00333884"/>
    <w:rsid w:val="0033714B"/>
    <w:rsid w:val="00342D32"/>
    <w:rsid w:val="003512CD"/>
    <w:rsid w:val="00351D25"/>
    <w:rsid w:val="0036055F"/>
    <w:rsid w:val="00360A95"/>
    <w:rsid w:val="00360BFC"/>
    <w:rsid w:val="00363BB3"/>
    <w:rsid w:val="0037492C"/>
    <w:rsid w:val="00376E58"/>
    <w:rsid w:val="003819AF"/>
    <w:rsid w:val="00383D74"/>
    <w:rsid w:val="00385A6E"/>
    <w:rsid w:val="00387959"/>
    <w:rsid w:val="00395636"/>
    <w:rsid w:val="003A79A4"/>
    <w:rsid w:val="003B20AF"/>
    <w:rsid w:val="003B595C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47B6"/>
    <w:rsid w:val="005570D1"/>
    <w:rsid w:val="005570E2"/>
    <w:rsid w:val="0056243E"/>
    <w:rsid w:val="00562910"/>
    <w:rsid w:val="00564421"/>
    <w:rsid w:val="00567242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C7B8D"/>
    <w:rsid w:val="005D1B55"/>
    <w:rsid w:val="005D1E3C"/>
    <w:rsid w:val="005E29E5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4EF2"/>
    <w:rsid w:val="007058CF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955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E75"/>
    <w:rsid w:val="00890E59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D2856"/>
    <w:rsid w:val="008D45FD"/>
    <w:rsid w:val="008D7621"/>
    <w:rsid w:val="008E14DA"/>
    <w:rsid w:val="008E377F"/>
    <w:rsid w:val="008E645D"/>
    <w:rsid w:val="008F003A"/>
    <w:rsid w:val="00901DA0"/>
    <w:rsid w:val="00903192"/>
    <w:rsid w:val="00904935"/>
    <w:rsid w:val="00914199"/>
    <w:rsid w:val="00925124"/>
    <w:rsid w:val="00933661"/>
    <w:rsid w:val="00935A2E"/>
    <w:rsid w:val="009367C6"/>
    <w:rsid w:val="009378DB"/>
    <w:rsid w:val="00940D4D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C230D"/>
    <w:rsid w:val="009C2C89"/>
    <w:rsid w:val="009C7333"/>
    <w:rsid w:val="009D01A0"/>
    <w:rsid w:val="009D3C22"/>
    <w:rsid w:val="009E1143"/>
    <w:rsid w:val="009E2A1C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63D6"/>
    <w:rsid w:val="00A32F67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7274"/>
    <w:rsid w:val="00AC6527"/>
    <w:rsid w:val="00AD1E94"/>
    <w:rsid w:val="00AE1485"/>
    <w:rsid w:val="00AF31FA"/>
    <w:rsid w:val="00AF39E9"/>
    <w:rsid w:val="00AF6761"/>
    <w:rsid w:val="00AF6A05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C87"/>
    <w:rsid w:val="00B87A26"/>
    <w:rsid w:val="00B95DB4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F77"/>
    <w:rsid w:val="00DF0B70"/>
    <w:rsid w:val="00DF4B92"/>
    <w:rsid w:val="00E00A1C"/>
    <w:rsid w:val="00E05563"/>
    <w:rsid w:val="00E073BC"/>
    <w:rsid w:val="00E121FC"/>
    <w:rsid w:val="00E17B2F"/>
    <w:rsid w:val="00E20D01"/>
    <w:rsid w:val="00E251B2"/>
    <w:rsid w:val="00E35C76"/>
    <w:rsid w:val="00E3620E"/>
    <w:rsid w:val="00E41FB5"/>
    <w:rsid w:val="00E42B66"/>
    <w:rsid w:val="00E43D4D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A1F6A"/>
    <w:rsid w:val="00EB39F7"/>
    <w:rsid w:val="00EB5C30"/>
    <w:rsid w:val="00EB758A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23B9"/>
    <w:rsid w:val="00F35124"/>
    <w:rsid w:val="00F35F0B"/>
    <w:rsid w:val="00F372D4"/>
    <w:rsid w:val="00F40CB9"/>
    <w:rsid w:val="00F457E4"/>
    <w:rsid w:val="00F46495"/>
    <w:rsid w:val="00F47244"/>
    <w:rsid w:val="00F4737B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E15D-C15C-4769-965D-C0E5A355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10751</TotalTime>
  <Pages>19</Pages>
  <Words>7862</Words>
  <Characters>47178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133</cp:revision>
  <cp:lastPrinted>2022-07-12T10:42:00Z</cp:lastPrinted>
  <dcterms:created xsi:type="dcterms:W3CDTF">2021-06-02T10:54:00Z</dcterms:created>
  <dcterms:modified xsi:type="dcterms:W3CDTF">2022-08-02T10:00:00Z</dcterms:modified>
</cp:coreProperties>
</file>